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67" w:rsidRDefault="00017267" w:rsidP="00017267">
      <w:pPr>
        <w:spacing w:after="0"/>
        <w:jc w:val="center"/>
      </w:pPr>
    </w:p>
    <w:p w:rsidR="00017267" w:rsidRDefault="00017267" w:rsidP="00017267">
      <w:pPr>
        <w:spacing w:after="0"/>
        <w:jc w:val="center"/>
        <w:rPr>
          <w:b/>
          <w:bCs/>
        </w:rPr>
      </w:pPr>
    </w:p>
    <w:p w:rsidR="003C20D6" w:rsidRDefault="003C20D6" w:rsidP="003C20D6">
      <w:pPr>
        <w:spacing w:after="0"/>
        <w:jc w:val="center"/>
        <w:rPr>
          <w:lang w:val="es-BO"/>
        </w:rPr>
      </w:pPr>
      <w:r>
        <w:rPr>
          <w:lang w:val="es-BO"/>
        </w:rPr>
        <w:t>COMUNICADO DE PRENSA</w:t>
      </w:r>
    </w:p>
    <w:p w:rsidR="003C20D6" w:rsidRPr="003C20D6" w:rsidRDefault="003C20D6" w:rsidP="003C20D6">
      <w:pPr>
        <w:spacing w:after="0"/>
        <w:jc w:val="center"/>
        <w:rPr>
          <w:b/>
          <w:bCs/>
          <w:lang w:val="es-BO"/>
        </w:rPr>
      </w:pPr>
      <w:r w:rsidRPr="003C20D6">
        <w:rPr>
          <w:b/>
          <w:bCs/>
          <w:lang w:val="es-BO"/>
        </w:rPr>
        <w:t xml:space="preserve">El Gremio Nacional de Abogados de los EEUU expresa su reconocimiento al pueblo boliviano por su participación activa en el proceso electoral democrático </w:t>
      </w:r>
    </w:p>
    <w:p w:rsidR="003C20D6" w:rsidRPr="00A22C9A" w:rsidRDefault="003C20D6" w:rsidP="003C20D6">
      <w:pPr>
        <w:spacing w:after="0"/>
        <w:rPr>
          <w:lang w:val="es-BO"/>
        </w:rPr>
      </w:pPr>
    </w:p>
    <w:p w:rsidR="003C20D6" w:rsidRPr="00A22C9A" w:rsidRDefault="003C20D6" w:rsidP="003C20D6">
      <w:pPr>
        <w:spacing w:after="0"/>
        <w:rPr>
          <w:lang w:val="es-BO"/>
        </w:rPr>
      </w:pPr>
      <w:r w:rsidRPr="00A22C9A">
        <w:rPr>
          <w:lang w:val="es-BO"/>
        </w:rPr>
        <w:t>Difu</w:t>
      </w:r>
      <w:bookmarkStart w:id="0" w:name="_GoBack"/>
      <w:bookmarkEnd w:id="0"/>
      <w:r w:rsidRPr="00A22C9A">
        <w:rPr>
          <w:lang w:val="es-BO"/>
        </w:rPr>
        <w:t>sión</w:t>
      </w:r>
      <w:r w:rsidRPr="00CA0D2A">
        <w:rPr>
          <w:lang w:val="es-BO"/>
        </w:rPr>
        <w:t xml:space="preserve"> inmediata</w:t>
      </w:r>
      <w:r w:rsidRPr="00A22C9A">
        <w:rPr>
          <w:lang w:val="es-BO"/>
        </w:rPr>
        <w:t xml:space="preserve"> </w:t>
      </w:r>
    </w:p>
    <w:p w:rsidR="003C20D6" w:rsidRPr="00A22C9A" w:rsidRDefault="003C20D6" w:rsidP="003C20D6">
      <w:pPr>
        <w:spacing w:after="0"/>
        <w:rPr>
          <w:lang w:val="es-BO"/>
        </w:rPr>
      </w:pPr>
      <w:r w:rsidRPr="00A22C9A">
        <w:rPr>
          <w:lang w:val="es-BO"/>
        </w:rPr>
        <w:t xml:space="preserve">13 de octubre, 2014 </w:t>
      </w:r>
    </w:p>
    <w:p w:rsidR="003C20D6" w:rsidRPr="00A22C9A" w:rsidRDefault="003C20D6" w:rsidP="003C20D6">
      <w:pPr>
        <w:spacing w:after="0"/>
        <w:rPr>
          <w:lang w:val="es-BO"/>
        </w:rPr>
      </w:pPr>
    </w:p>
    <w:p w:rsidR="003C20D6" w:rsidRPr="00CA0D2A" w:rsidRDefault="003C20D6" w:rsidP="003C20D6">
      <w:pPr>
        <w:spacing w:after="0"/>
        <w:rPr>
          <w:lang w:val="es-BO"/>
        </w:rPr>
      </w:pPr>
      <w:r w:rsidRPr="00CA0D2A">
        <w:rPr>
          <w:lang w:val="es-BO"/>
        </w:rPr>
        <w:t>P</w:t>
      </w:r>
      <w:r>
        <w:rPr>
          <w:lang w:val="es-BO"/>
        </w:rPr>
        <w:t>ara</w:t>
      </w:r>
      <w:r w:rsidRPr="00CA0D2A">
        <w:rPr>
          <w:lang w:val="es-BO"/>
        </w:rPr>
        <w:t xml:space="preserve"> </w:t>
      </w:r>
      <w:r>
        <w:rPr>
          <w:lang w:val="es-BO"/>
        </w:rPr>
        <w:t>mayor</w:t>
      </w:r>
      <w:r w:rsidRPr="00CA0D2A">
        <w:rPr>
          <w:lang w:val="es-BO"/>
        </w:rPr>
        <w:t xml:space="preserve"> información, favor </w:t>
      </w:r>
      <w:r>
        <w:rPr>
          <w:lang w:val="es-BO"/>
        </w:rPr>
        <w:t>comunicarse con</w:t>
      </w:r>
      <w:r w:rsidRPr="00CA0D2A">
        <w:rPr>
          <w:lang w:val="es-BO"/>
        </w:rPr>
        <w:t>:</w:t>
      </w:r>
    </w:p>
    <w:p w:rsidR="003C20D6" w:rsidRDefault="003C20D6" w:rsidP="003C20D6">
      <w:pPr>
        <w:spacing w:after="0"/>
      </w:pPr>
      <w:r>
        <w:t xml:space="preserve">Judy </w:t>
      </w:r>
      <w:proofErr w:type="spellStart"/>
      <w:r>
        <w:t>Somberg</w:t>
      </w:r>
      <w:proofErr w:type="spellEnd"/>
      <w:r>
        <w:t xml:space="preserve"> </w:t>
      </w:r>
    </w:p>
    <w:p w:rsidR="003C20D6" w:rsidRDefault="003C20D6" w:rsidP="003C20D6">
      <w:pPr>
        <w:spacing w:after="0"/>
      </w:pPr>
      <w:hyperlink r:id="rId8" w:history="1">
        <w:r w:rsidRPr="00C80689">
          <w:rPr>
            <w:rStyle w:val="Hyperlink"/>
          </w:rPr>
          <w:t>judy_somberg@igc.org</w:t>
        </w:r>
      </w:hyperlink>
    </w:p>
    <w:p w:rsidR="003C20D6" w:rsidRDefault="003C20D6" w:rsidP="003C20D6">
      <w:pPr>
        <w:spacing w:after="0"/>
      </w:pPr>
    </w:p>
    <w:p w:rsidR="003C20D6" w:rsidRDefault="003C20D6" w:rsidP="003C20D6">
      <w:pPr>
        <w:rPr>
          <w:lang w:val="es-BO"/>
        </w:rPr>
      </w:pPr>
      <w:r w:rsidRPr="004C4537">
        <w:rPr>
          <w:lang w:val="es-BO"/>
        </w:rPr>
        <w:t>Doce miembros del Gremio</w:t>
      </w:r>
      <w:r>
        <w:rPr>
          <w:lang w:val="es-BO"/>
        </w:rPr>
        <w:t xml:space="preserve"> Nacional</w:t>
      </w:r>
      <w:r w:rsidRPr="004C4537">
        <w:rPr>
          <w:lang w:val="es-BO"/>
        </w:rPr>
        <w:t xml:space="preserve"> de Abogados </w:t>
      </w:r>
      <w:r>
        <w:rPr>
          <w:lang w:val="es-BO"/>
        </w:rPr>
        <w:t>(</w:t>
      </w:r>
      <w:proofErr w:type="spellStart"/>
      <w:r>
        <w:rPr>
          <w:lang w:val="es-BO"/>
        </w:rPr>
        <w:t>National</w:t>
      </w:r>
      <w:proofErr w:type="spellEnd"/>
      <w:r>
        <w:rPr>
          <w:lang w:val="es-BO"/>
        </w:rPr>
        <w:t xml:space="preserve"> </w:t>
      </w:r>
      <w:proofErr w:type="spellStart"/>
      <w:r>
        <w:rPr>
          <w:lang w:val="es-BO"/>
        </w:rPr>
        <w:t>Lawyers</w:t>
      </w:r>
      <w:proofErr w:type="spellEnd"/>
      <w:r>
        <w:rPr>
          <w:lang w:val="es-BO"/>
        </w:rPr>
        <w:t xml:space="preserve"> </w:t>
      </w:r>
      <w:proofErr w:type="spellStart"/>
      <w:r>
        <w:rPr>
          <w:lang w:val="es-BO"/>
        </w:rPr>
        <w:t>Guild</w:t>
      </w:r>
      <w:proofErr w:type="spellEnd"/>
      <w:r>
        <w:rPr>
          <w:lang w:val="es-BO"/>
        </w:rPr>
        <w:t xml:space="preserve">) </w:t>
      </w:r>
      <w:r w:rsidRPr="004C4537">
        <w:rPr>
          <w:lang w:val="es-BO"/>
        </w:rPr>
        <w:t>de los EEUU</w:t>
      </w:r>
      <w:r>
        <w:rPr>
          <w:lang w:val="es-BO"/>
        </w:rPr>
        <w:t xml:space="preserve"> pasamos una semana en Bolivia antes de las elecciones nacionales, aprendiendo sobre el proceso electoral en el país. En el día del sufragio, hemos observado el proceso en los recintos electorales, desde la instalación de las mesas hasta el final del conteo del voto. Hemos trabajado en tres grupos y vistamos nueve recintos: tres en Achacachi, dos en El Alto y cuatro en la ciudad de La Paz. En total, los observadores hemos visitado un total de 238 mesas, atendiendo a </w:t>
      </w:r>
      <w:r w:rsidRPr="00CA0D2A">
        <w:rPr>
          <w:lang w:val="es-BO"/>
        </w:rPr>
        <w:t xml:space="preserve">54,623 </w:t>
      </w:r>
      <w:r>
        <w:rPr>
          <w:lang w:val="es-BO"/>
        </w:rPr>
        <w:t>votantes</w:t>
      </w:r>
      <w:r w:rsidRPr="00CA0D2A">
        <w:rPr>
          <w:lang w:val="es-BO"/>
        </w:rPr>
        <w:t xml:space="preserve">.  </w:t>
      </w:r>
    </w:p>
    <w:p w:rsidR="003C20D6" w:rsidRPr="002B7F48" w:rsidRDefault="003C20D6" w:rsidP="003C20D6">
      <w:pPr>
        <w:rPr>
          <w:lang w:val="es-BO"/>
        </w:rPr>
      </w:pPr>
      <w:r>
        <w:rPr>
          <w:lang w:val="es-BO"/>
        </w:rPr>
        <w:t>Expresamos nuestro reconocimiento</w:t>
      </w:r>
      <w:r w:rsidRPr="00EB0483">
        <w:rPr>
          <w:lang w:val="es-BO"/>
        </w:rPr>
        <w:t xml:space="preserve"> </w:t>
      </w:r>
      <w:r>
        <w:rPr>
          <w:lang w:val="es-BO"/>
        </w:rPr>
        <w:t>a</w:t>
      </w:r>
      <w:r w:rsidRPr="00EB0483">
        <w:rPr>
          <w:lang w:val="es-BO"/>
        </w:rPr>
        <w:t xml:space="preserve">l TSE y </w:t>
      </w:r>
      <w:r>
        <w:rPr>
          <w:lang w:val="es-BO"/>
        </w:rPr>
        <w:t>al</w:t>
      </w:r>
      <w:r w:rsidRPr="00EB0483">
        <w:rPr>
          <w:lang w:val="es-BO"/>
        </w:rPr>
        <w:t xml:space="preserve"> pueblo boliviano </w:t>
      </w:r>
      <w:r>
        <w:rPr>
          <w:lang w:val="es-BO"/>
        </w:rPr>
        <w:t>por</w:t>
      </w:r>
      <w:r w:rsidRPr="00EB0483">
        <w:rPr>
          <w:lang w:val="es-BO"/>
        </w:rPr>
        <w:t xml:space="preserve"> su participación activa en </w:t>
      </w:r>
      <w:r>
        <w:rPr>
          <w:lang w:val="es-BO"/>
        </w:rPr>
        <w:t>este</w:t>
      </w:r>
      <w:r w:rsidRPr="00EB0483">
        <w:rPr>
          <w:lang w:val="es-BO"/>
        </w:rPr>
        <w:t xml:space="preserve"> proceso electoral democrático. </w:t>
      </w:r>
      <w:r>
        <w:rPr>
          <w:lang w:val="es-BO"/>
        </w:rPr>
        <w:t>Nos impresionó positivamente</w:t>
      </w:r>
      <w:r w:rsidRPr="002B7F48">
        <w:rPr>
          <w:lang w:val="es-BO"/>
        </w:rPr>
        <w:t xml:space="preserve"> la participación </w:t>
      </w:r>
      <w:r>
        <w:rPr>
          <w:lang w:val="es-BO"/>
        </w:rPr>
        <w:t xml:space="preserve">de los jurados bolivianos, quienes fueron seleccionados al azar para trabajar en los recintos, y también la participación igualitaria de las mujeres y personas de todos sectores económicos y culturales. </w:t>
      </w:r>
      <w:r w:rsidRPr="002B7F48">
        <w:rPr>
          <w:lang w:val="es-BO"/>
        </w:rPr>
        <w:t xml:space="preserve">Estuvimos impresionados también por la cooperación ciudadana en todos los pasos del proceso de votación </w:t>
      </w:r>
      <w:r>
        <w:rPr>
          <w:lang w:val="es-BO"/>
        </w:rPr>
        <w:t>a partir de la instalación</w:t>
      </w:r>
      <w:r w:rsidRPr="002B7F48">
        <w:rPr>
          <w:lang w:val="es-BO"/>
        </w:rPr>
        <w:t xml:space="preserve"> de las mesas</w:t>
      </w:r>
      <w:r>
        <w:rPr>
          <w:lang w:val="es-BO"/>
        </w:rPr>
        <w:t xml:space="preserve"> y</w:t>
      </w:r>
      <w:r w:rsidRPr="002B7F48">
        <w:rPr>
          <w:lang w:val="es-BO"/>
        </w:rPr>
        <w:t xml:space="preserve"> el conducto del proceso dur</w:t>
      </w:r>
      <w:r>
        <w:rPr>
          <w:lang w:val="es-BO"/>
        </w:rPr>
        <w:t xml:space="preserve">ante todo el día. La papeleta de votación era muy fácil de utilizar, y el proceso de conteo de los votos después del cierre de los recintos fue transparente.  Hemos observado unas sesiones de capacitación de jurados en Cochabamba que nos dio la impresión de un proceso algo complicado, y luego estuvimos impresionados por la seriedad y nivel de conocimiento de los jurados que hemos observado en La Paz. </w:t>
      </w:r>
    </w:p>
    <w:p w:rsidR="003C20D6" w:rsidRPr="009B0818" w:rsidRDefault="003C20D6" w:rsidP="003C20D6">
      <w:pPr>
        <w:rPr>
          <w:lang w:val="es-BO"/>
        </w:rPr>
      </w:pPr>
      <w:r w:rsidRPr="009B0818">
        <w:rPr>
          <w:lang w:val="es-BO"/>
        </w:rPr>
        <w:t xml:space="preserve">Desde una perspectiva </w:t>
      </w:r>
      <w:r>
        <w:rPr>
          <w:lang w:val="es-BO"/>
        </w:rPr>
        <w:t>de</w:t>
      </w:r>
      <w:r w:rsidRPr="009B0818">
        <w:rPr>
          <w:lang w:val="es-BO"/>
        </w:rPr>
        <w:t xml:space="preserve"> los EEU</w:t>
      </w:r>
      <w:r>
        <w:rPr>
          <w:lang w:val="es-BO"/>
        </w:rPr>
        <w:t>U,</w:t>
      </w:r>
      <w:r w:rsidRPr="009B0818">
        <w:rPr>
          <w:lang w:val="es-BO"/>
        </w:rPr>
        <w:t xml:space="preserve"> donde la participación de la ciudadanía en procesos electorales es muy baja, hemos </w:t>
      </w:r>
      <w:r>
        <w:rPr>
          <w:lang w:val="es-BO"/>
        </w:rPr>
        <w:t>tomado nota de</w:t>
      </w:r>
      <w:r w:rsidRPr="009B0818">
        <w:rPr>
          <w:lang w:val="es-BO"/>
        </w:rPr>
        <w:t xml:space="preserve"> los procedimientos en Bolivia que </w:t>
      </w:r>
      <w:r>
        <w:rPr>
          <w:lang w:val="es-BO"/>
        </w:rPr>
        <w:t>favorecen</w:t>
      </w:r>
      <w:r w:rsidRPr="009B0818">
        <w:rPr>
          <w:lang w:val="es-BO"/>
        </w:rPr>
        <w:t xml:space="preserve"> que todos los ciudadanos vot</w:t>
      </w:r>
      <w:r>
        <w:rPr>
          <w:lang w:val="es-BO"/>
        </w:rPr>
        <w:t>e</w:t>
      </w:r>
      <w:r w:rsidRPr="009B0818">
        <w:rPr>
          <w:lang w:val="es-BO"/>
        </w:rPr>
        <w:t xml:space="preserve">n en forma informada, incluyendo: </w:t>
      </w:r>
    </w:p>
    <w:p w:rsidR="003C20D6" w:rsidRPr="009B0818" w:rsidRDefault="003C20D6" w:rsidP="003C20D6">
      <w:pPr>
        <w:pStyle w:val="ListParagraph"/>
        <w:numPr>
          <w:ilvl w:val="0"/>
          <w:numId w:val="1"/>
        </w:numPr>
        <w:rPr>
          <w:lang w:val="es-BO"/>
        </w:rPr>
      </w:pPr>
      <w:r w:rsidRPr="009B0818">
        <w:rPr>
          <w:lang w:val="es-BO"/>
        </w:rPr>
        <w:t>La votación en día feriado (domingo</w:t>
      </w:r>
      <w:r>
        <w:rPr>
          <w:lang w:val="es-BO"/>
        </w:rPr>
        <w:t>);</w:t>
      </w:r>
    </w:p>
    <w:p w:rsidR="003C20D6" w:rsidRDefault="003C20D6" w:rsidP="003C20D6">
      <w:pPr>
        <w:pStyle w:val="ListParagraph"/>
        <w:numPr>
          <w:ilvl w:val="0"/>
          <w:numId w:val="1"/>
        </w:numPr>
      </w:pPr>
      <w:r>
        <w:t xml:space="preserve">La </w:t>
      </w:r>
      <w:proofErr w:type="spellStart"/>
      <w:r>
        <w:t>votación</w:t>
      </w:r>
      <w:proofErr w:type="spellEnd"/>
      <w:r>
        <w:t xml:space="preserve"> </w:t>
      </w:r>
      <w:proofErr w:type="spellStart"/>
      <w:r>
        <w:t>obligatoria</w:t>
      </w:r>
      <w:proofErr w:type="spellEnd"/>
      <w:r>
        <w:t>;</w:t>
      </w:r>
    </w:p>
    <w:p w:rsidR="003C20D6" w:rsidRPr="009B0818" w:rsidRDefault="003C20D6" w:rsidP="003C20D6">
      <w:pPr>
        <w:pStyle w:val="ListParagraph"/>
        <w:numPr>
          <w:ilvl w:val="0"/>
          <w:numId w:val="1"/>
        </w:numPr>
        <w:rPr>
          <w:lang w:val="es-BO"/>
        </w:rPr>
      </w:pPr>
      <w:r w:rsidRPr="009B0818">
        <w:rPr>
          <w:lang w:val="es-BO"/>
        </w:rPr>
        <w:t xml:space="preserve">La prohibición de actividades </w:t>
      </w:r>
      <w:r>
        <w:rPr>
          <w:lang w:val="es-BO"/>
        </w:rPr>
        <w:t>de campaña antes de la elección</w:t>
      </w:r>
      <w:r w:rsidRPr="009B0818">
        <w:rPr>
          <w:lang w:val="es-BO"/>
        </w:rPr>
        <w:t>;</w:t>
      </w:r>
    </w:p>
    <w:p w:rsidR="003C20D6" w:rsidRPr="00FD20F9" w:rsidRDefault="003C20D6" w:rsidP="003C20D6">
      <w:pPr>
        <w:pStyle w:val="ListParagraph"/>
        <w:numPr>
          <w:ilvl w:val="0"/>
          <w:numId w:val="1"/>
        </w:numPr>
        <w:rPr>
          <w:lang w:val="es-BO"/>
        </w:rPr>
      </w:pPr>
      <w:r>
        <w:rPr>
          <w:lang w:val="es-BO"/>
        </w:rPr>
        <w:t xml:space="preserve">El permiso para votar para ciudadanos fuera del país; </w:t>
      </w:r>
    </w:p>
    <w:p w:rsidR="003C20D6" w:rsidRPr="00D64054" w:rsidRDefault="003C20D6" w:rsidP="003C20D6">
      <w:pPr>
        <w:pStyle w:val="ListParagraph"/>
        <w:numPr>
          <w:ilvl w:val="0"/>
          <w:numId w:val="1"/>
        </w:numPr>
        <w:rPr>
          <w:lang w:val="es-BO"/>
        </w:rPr>
      </w:pPr>
      <w:r w:rsidRPr="00D64054">
        <w:rPr>
          <w:lang w:val="es-BO"/>
        </w:rPr>
        <w:lastRenderedPageBreak/>
        <w:t xml:space="preserve">El requisito de participación igualitaria de mujeres en todos </w:t>
      </w:r>
      <w:r>
        <w:rPr>
          <w:lang w:val="es-BO"/>
        </w:rPr>
        <w:t xml:space="preserve">los </w:t>
      </w:r>
      <w:r w:rsidRPr="00D64054">
        <w:rPr>
          <w:lang w:val="es-BO"/>
        </w:rPr>
        <w:t xml:space="preserve">niveles del proceso de votación; y </w:t>
      </w:r>
    </w:p>
    <w:p w:rsidR="003C20D6" w:rsidRPr="009B0818" w:rsidRDefault="003C20D6" w:rsidP="003C20D6">
      <w:pPr>
        <w:pStyle w:val="ListParagraph"/>
        <w:numPr>
          <w:ilvl w:val="0"/>
          <w:numId w:val="1"/>
        </w:numPr>
        <w:rPr>
          <w:lang w:val="es-BO"/>
        </w:rPr>
      </w:pPr>
      <w:r>
        <w:rPr>
          <w:lang w:val="es-BO"/>
        </w:rPr>
        <w:t>El registro</w:t>
      </w:r>
      <w:r w:rsidRPr="009B0818">
        <w:rPr>
          <w:lang w:val="es-BO"/>
        </w:rPr>
        <w:t xml:space="preserve"> casi universal de los votantes. </w:t>
      </w:r>
    </w:p>
    <w:p w:rsidR="003C20D6" w:rsidRPr="009B0818" w:rsidRDefault="003C20D6" w:rsidP="003C20D6">
      <w:pPr>
        <w:pStyle w:val="ListParagraph"/>
        <w:rPr>
          <w:lang w:val="es-BO"/>
        </w:rPr>
      </w:pPr>
    </w:p>
    <w:p w:rsidR="003C20D6" w:rsidRDefault="003C20D6" w:rsidP="003C20D6">
      <w:pPr>
        <w:ind w:left="360"/>
        <w:rPr>
          <w:lang w:val="es-BO"/>
        </w:rPr>
      </w:pPr>
      <w:r>
        <w:rPr>
          <w:lang w:val="es-BO"/>
        </w:rPr>
        <w:t xml:space="preserve">Nuestras preocupaciones sobre el proceso de votación son las siguientes: </w:t>
      </w:r>
    </w:p>
    <w:p w:rsidR="003C20D6" w:rsidRDefault="003C20D6" w:rsidP="003C20D6">
      <w:pPr>
        <w:pStyle w:val="ListParagraph"/>
        <w:numPr>
          <w:ilvl w:val="0"/>
          <w:numId w:val="2"/>
        </w:numPr>
        <w:rPr>
          <w:lang w:val="es-BO"/>
        </w:rPr>
      </w:pPr>
      <w:r>
        <w:rPr>
          <w:lang w:val="es-BO"/>
        </w:rPr>
        <w:t>La disponibilidad desigual de recursos entre los partidos y candidatos. Recomendamos la implementación del financiamiento estatal de las campañas electorales. (Reconocemos que esto es un problema serio también en los EEUU.)</w:t>
      </w:r>
    </w:p>
    <w:p w:rsidR="003C20D6" w:rsidRPr="00167009" w:rsidRDefault="003C20D6" w:rsidP="003C20D6">
      <w:pPr>
        <w:pStyle w:val="ListParagraph"/>
        <w:numPr>
          <w:ilvl w:val="0"/>
          <w:numId w:val="2"/>
        </w:numPr>
        <w:rPr>
          <w:lang w:val="es-BO"/>
        </w:rPr>
      </w:pPr>
      <w:r>
        <w:rPr>
          <w:lang w:val="es-BO"/>
        </w:rPr>
        <w:t>La ausencia de asistencia a los votantes con información en los recintos: muchos votantes no podían leer la lista de nombres para ubicar sus mesas porque las listas de votantes no se colocaron en un lugar visible cuando se abrieron los recintos y también eran difíciles de ubicar; si bien algunos notarios establecieron pequeñas mesas para contestar preguntas y ayudar a los votantes a ubicar sus mesas, eran insuficientes; además, los votantes no podían identificar fácilmente a los notarios porque la mayoría no llevaba sus chalecos, y sus chalecos no se diferenciaban de los de los observadores y otros participantes. Recomendamos que los votantes reciban notificación previa de sus recintos y mesas.</w:t>
      </w:r>
    </w:p>
    <w:p w:rsidR="003C20D6" w:rsidRPr="00FD20F9" w:rsidRDefault="003C20D6" w:rsidP="003C20D6">
      <w:pPr>
        <w:pStyle w:val="ListParagraph"/>
        <w:numPr>
          <w:ilvl w:val="0"/>
          <w:numId w:val="2"/>
        </w:numPr>
        <w:rPr>
          <w:lang w:val="es-BO"/>
        </w:rPr>
      </w:pPr>
      <w:r w:rsidRPr="003F569A">
        <w:rPr>
          <w:lang w:val="es-BO"/>
        </w:rPr>
        <w:t>La falta de asistencia a la</w:t>
      </w:r>
      <w:r>
        <w:rPr>
          <w:lang w:val="es-BO"/>
        </w:rPr>
        <w:t>s personas</w:t>
      </w:r>
      <w:r w:rsidRPr="003F569A">
        <w:rPr>
          <w:lang w:val="es-BO"/>
        </w:rPr>
        <w:t xml:space="preserve"> mayor</w:t>
      </w:r>
      <w:r>
        <w:rPr>
          <w:lang w:val="es-BO"/>
        </w:rPr>
        <w:t>es</w:t>
      </w:r>
      <w:r w:rsidRPr="003F569A">
        <w:rPr>
          <w:lang w:val="es-BO"/>
        </w:rPr>
        <w:t xml:space="preserve"> y </w:t>
      </w:r>
      <w:r>
        <w:rPr>
          <w:lang w:val="es-BO"/>
        </w:rPr>
        <w:t>personas</w:t>
      </w:r>
      <w:r w:rsidRPr="003F569A">
        <w:rPr>
          <w:lang w:val="es-BO"/>
        </w:rPr>
        <w:t xml:space="preserve"> con discapacidades. Aunque había</w:t>
      </w:r>
      <w:r>
        <w:rPr>
          <w:lang w:val="es-BO"/>
        </w:rPr>
        <w:t>n</w:t>
      </w:r>
      <w:r w:rsidRPr="003F569A">
        <w:rPr>
          <w:lang w:val="es-BO"/>
        </w:rPr>
        <w:t xml:space="preserve"> procedimientos escritos para ayudar a </w:t>
      </w:r>
      <w:r>
        <w:rPr>
          <w:lang w:val="es-BO"/>
        </w:rPr>
        <w:t>estos grupos</w:t>
      </w:r>
      <w:r w:rsidRPr="003F569A">
        <w:rPr>
          <w:lang w:val="es-BO"/>
        </w:rPr>
        <w:t>, no había suficiente</w:t>
      </w:r>
      <w:r>
        <w:rPr>
          <w:lang w:val="es-BO"/>
        </w:rPr>
        <w:t>s</w:t>
      </w:r>
      <w:r w:rsidRPr="003F569A">
        <w:rPr>
          <w:lang w:val="es-BO"/>
        </w:rPr>
        <w:t xml:space="preserve"> recursos para realizar estas funciones, y hemos notado</w:t>
      </w:r>
      <w:r>
        <w:rPr>
          <w:lang w:val="es-BO"/>
        </w:rPr>
        <w:t xml:space="preserve"> que</w:t>
      </w:r>
      <w:r w:rsidRPr="003F569A">
        <w:rPr>
          <w:lang w:val="es-BO"/>
        </w:rPr>
        <w:t xml:space="preserve"> </w:t>
      </w:r>
      <w:r>
        <w:rPr>
          <w:lang w:val="es-BO"/>
        </w:rPr>
        <w:t xml:space="preserve">a </w:t>
      </w:r>
      <w:r w:rsidRPr="003F569A">
        <w:rPr>
          <w:lang w:val="es-BO"/>
        </w:rPr>
        <w:t>mucha</w:t>
      </w:r>
      <w:r>
        <w:rPr>
          <w:lang w:val="es-BO"/>
        </w:rPr>
        <w:t>s</w:t>
      </w:r>
      <w:r w:rsidRPr="003F569A">
        <w:rPr>
          <w:lang w:val="es-BO"/>
        </w:rPr>
        <w:t xml:space="preserve"> </w:t>
      </w:r>
      <w:r>
        <w:rPr>
          <w:lang w:val="es-BO"/>
        </w:rPr>
        <w:t>personas</w:t>
      </w:r>
      <w:r w:rsidRPr="003F569A">
        <w:rPr>
          <w:lang w:val="es-BO"/>
        </w:rPr>
        <w:t xml:space="preserve"> mayor</w:t>
      </w:r>
      <w:r>
        <w:rPr>
          <w:lang w:val="es-BO"/>
        </w:rPr>
        <w:t>es</w:t>
      </w:r>
      <w:r w:rsidRPr="003F569A">
        <w:rPr>
          <w:lang w:val="es-BO"/>
        </w:rPr>
        <w:t xml:space="preserve"> y </w:t>
      </w:r>
      <w:r>
        <w:rPr>
          <w:lang w:val="es-BO"/>
        </w:rPr>
        <w:t>personas</w:t>
      </w:r>
      <w:r w:rsidRPr="003F569A">
        <w:rPr>
          <w:lang w:val="es-BO"/>
        </w:rPr>
        <w:t xml:space="preserve"> con discapacidades </w:t>
      </w:r>
      <w:r>
        <w:rPr>
          <w:lang w:val="es-BO"/>
        </w:rPr>
        <w:t xml:space="preserve">se les desanimaba </w:t>
      </w:r>
      <w:r w:rsidRPr="003F569A">
        <w:rPr>
          <w:lang w:val="es-BO"/>
        </w:rPr>
        <w:t>en vez de apoya</w:t>
      </w:r>
      <w:r>
        <w:rPr>
          <w:lang w:val="es-BO"/>
        </w:rPr>
        <w:t>rlas</w:t>
      </w:r>
      <w:r w:rsidRPr="003F569A">
        <w:rPr>
          <w:lang w:val="es-BO"/>
        </w:rPr>
        <w:t xml:space="preserve"> en la votación.</w:t>
      </w:r>
      <w:r w:rsidRPr="00D64054">
        <w:rPr>
          <w:lang w:val="es-BO"/>
        </w:rPr>
        <w:t xml:space="preserve"> Varios recintos tenían</w:t>
      </w:r>
      <w:r w:rsidRPr="00FD20F9">
        <w:rPr>
          <w:lang w:val="es-BO"/>
        </w:rPr>
        <w:t xml:space="preserve"> mesas</w:t>
      </w:r>
      <w:r w:rsidRPr="00D64054">
        <w:rPr>
          <w:lang w:val="es-BO"/>
        </w:rPr>
        <w:t xml:space="preserve"> en</w:t>
      </w:r>
      <w:r w:rsidRPr="00FD20F9">
        <w:rPr>
          <w:lang w:val="es-BO"/>
        </w:rPr>
        <w:t xml:space="preserve"> el segundo y tercer piso. </w:t>
      </w:r>
      <w:r w:rsidRPr="00B836A2">
        <w:rPr>
          <w:lang w:val="es-BO"/>
        </w:rPr>
        <w:t>Era imposible para mucha</w:t>
      </w:r>
      <w:r>
        <w:rPr>
          <w:lang w:val="es-BO"/>
        </w:rPr>
        <w:t>s</w:t>
      </w:r>
      <w:r w:rsidRPr="00B836A2">
        <w:rPr>
          <w:lang w:val="es-BO"/>
        </w:rPr>
        <w:t xml:space="preserve"> </w:t>
      </w:r>
      <w:r>
        <w:rPr>
          <w:lang w:val="es-BO"/>
        </w:rPr>
        <w:t>personas</w:t>
      </w:r>
      <w:r w:rsidRPr="00B836A2">
        <w:rPr>
          <w:lang w:val="es-BO"/>
        </w:rPr>
        <w:t xml:space="preserve"> llegar a estas mesas, y a causa de las </w:t>
      </w:r>
      <w:r>
        <w:rPr>
          <w:lang w:val="es-BO"/>
        </w:rPr>
        <w:t xml:space="preserve">largas </w:t>
      </w:r>
      <w:r w:rsidRPr="00B836A2">
        <w:rPr>
          <w:lang w:val="es-BO"/>
        </w:rPr>
        <w:t xml:space="preserve">filas, solamente </w:t>
      </w:r>
      <w:r>
        <w:rPr>
          <w:lang w:val="es-BO"/>
        </w:rPr>
        <w:t>en dos ocasiones</w:t>
      </w:r>
      <w:r w:rsidRPr="00B836A2">
        <w:rPr>
          <w:lang w:val="es-BO"/>
        </w:rPr>
        <w:t xml:space="preserve"> hemos observado que los jurados </w:t>
      </w:r>
      <w:r>
        <w:rPr>
          <w:lang w:val="es-BO"/>
        </w:rPr>
        <w:t>hayan</w:t>
      </w:r>
      <w:r w:rsidRPr="00B836A2">
        <w:rPr>
          <w:lang w:val="es-BO"/>
        </w:rPr>
        <w:t xml:space="preserve"> bajado al primer piso para que un votante mayor</w:t>
      </w:r>
      <w:r w:rsidRPr="00D64054">
        <w:rPr>
          <w:lang w:val="es-BO"/>
        </w:rPr>
        <w:t xml:space="preserve"> </w:t>
      </w:r>
      <w:r>
        <w:rPr>
          <w:lang w:val="es-BO"/>
        </w:rPr>
        <w:t>podía</w:t>
      </w:r>
      <w:r w:rsidRPr="00B836A2">
        <w:rPr>
          <w:lang w:val="es-BO"/>
        </w:rPr>
        <w:t xml:space="preserve"> votar. </w:t>
      </w:r>
    </w:p>
    <w:p w:rsidR="003C20D6" w:rsidRPr="00FD20F9" w:rsidRDefault="003C20D6" w:rsidP="003C20D6">
      <w:pPr>
        <w:pStyle w:val="ListParagraph"/>
        <w:numPr>
          <w:ilvl w:val="0"/>
          <w:numId w:val="2"/>
        </w:numPr>
        <w:rPr>
          <w:lang w:val="es-BO"/>
        </w:rPr>
      </w:pPr>
      <w:r>
        <w:rPr>
          <w:lang w:val="es-BO"/>
        </w:rPr>
        <w:t>La</w:t>
      </w:r>
      <w:r w:rsidRPr="008B3B8D">
        <w:rPr>
          <w:lang w:val="es-BO"/>
        </w:rPr>
        <w:t xml:space="preserve"> falta de recursos para enfrentar la situación de un gran </w:t>
      </w:r>
      <w:r>
        <w:rPr>
          <w:lang w:val="es-BO"/>
        </w:rPr>
        <w:t>número</w:t>
      </w:r>
      <w:r w:rsidRPr="008B3B8D">
        <w:rPr>
          <w:lang w:val="es-BO"/>
        </w:rPr>
        <w:t xml:space="preserve"> de personas que llegaron a los recintos pero que no podían votar porque no estaban en las listas de votantes registrados, por </w:t>
      </w:r>
      <w:r>
        <w:rPr>
          <w:lang w:val="es-BO"/>
        </w:rPr>
        <w:t>ningún error suyo</w:t>
      </w:r>
      <w:r w:rsidRPr="008B3B8D">
        <w:rPr>
          <w:lang w:val="es-BO"/>
        </w:rPr>
        <w:t xml:space="preserve"> o </w:t>
      </w:r>
      <w:r>
        <w:rPr>
          <w:lang w:val="es-BO"/>
        </w:rPr>
        <w:t xml:space="preserve">bien </w:t>
      </w:r>
      <w:r w:rsidRPr="008B3B8D">
        <w:rPr>
          <w:lang w:val="es-BO"/>
        </w:rPr>
        <w:t xml:space="preserve">porque han llegado al recinto equivocado, o por otras razones. </w:t>
      </w:r>
    </w:p>
    <w:p w:rsidR="003C20D6" w:rsidRPr="008B3B8D" w:rsidRDefault="003C20D6" w:rsidP="003C20D6">
      <w:pPr>
        <w:pStyle w:val="ListParagraph"/>
        <w:numPr>
          <w:ilvl w:val="0"/>
          <w:numId w:val="2"/>
        </w:numPr>
        <w:rPr>
          <w:lang w:val="es-BO"/>
        </w:rPr>
      </w:pPr>
      <w:r w:rsidRPr="008B3B8D">
        <w:rPr>
          <w:lang w:val="es-BO"/>
        </w:rPr>
        <w:t xml:space="preserve">La </w:t>
      </w:r>
      <w:r>
        <w:rPr>
          <w:lang w:val="es-BO"/>
        </w:rPr>
        <w:t>insuficiente información</w:t>
      </w:r>
      <w:r w:rsidRPr="008B3B8D">
        <w:rPr>
          <w:lang w:val="es-BO"/>
        </w:rPr>
        <w:t xml:space="preserve"> sobre las opciones y recursos para </w:t>
      </w:r>
      <w:r>
        <w:rPr>
          <w:lang w:val="es-BO"/>
        </w:rPr>
        <w:t>las personas</w:t>
      </w:r>
      <w:r w:rsidRPr="008B3B8D">
        <w:rPr>
          <w:lang w:val="es-BO"/>
        </w:rPr>
        <w:t xml:space="preserve"> que buscaban certificados de impedimento.</w:t>
      </w:r>
    </w:p>
    <w:p w:rsidR="003C20D6" w:rsidRPr="00FD20F9" w:rsidRDefault="003C20D6" w:rsidP="003C20D6">
      <w:pPr>
        <w:pStyle w:val="ListParagraph"/>
        <w:numPr>
          <w:ilvl w:val="0"/>
          <w:numId w:val="2"/>
        </w:numPr>
        <w:rPr>
          <w:lang w:val="es-BO"/>
        </w:rPr>
      </w:pPr>
      <w:r w:rsidRPr="008B3B8D">
        <w:rPr>
          <w:lang w:val="es-BO"/>
        </w:rPr>
        <w:t>La</w:t>
      </w:r>
      <w:r>
        <w:rPr>
          <w:lang w:val="es-BO"/>
        </w:rPr>
        <w:t xml:space="preserve"> dotación desigual </w:t>
      </w:r>
      <w:r w:rsidRPr="008B3B8D">
        <w:rPr>
          <w:lang w:val="es-BO"/>
        </w:rPr>
        <w:t xml:space="preserve">de recursos en los recintos. </w:t>
      </w:r>
    </w:p>
    <w:p w:rsidR="003C20D6" w:rsidRPr="00CA0D2A" w:rsidRDefault="003C20D6" w:rsidP="003C20D6">
      <w:pPr>
        <w:rPr>
          <w:lang w:val="es-BO"/>
        </w:rPr>
      </w:pPr>
    </w:p>
    <w:p w:rsidR="003C20D6" w:rsidRPr="00CA0D2A" w:rsidRDefault="003C20D6" w:rsidP="003C20D6">
      <w:pPr>
        <w:rPr>
          <w:lang w:val="es-BO"/>
        </w:rPr>
      </w:pPr>
      <w:r w:rsidRPr="00CA0D2A">
        <w:rPr>
          <w:i/>
          <w:iCs/>
          <w:lang w:val="es-BO"/>
        </w:rPr>
        <w:t xml:space="preserve">El Gremio Nacional de Abogados </w:t>
      </w:r>
      <w:r>
        <w:rPr>
          <w:i/>
          <w:iCs/>
          <w:lang w:val="es-BO"/>
        </w:rPr>
        <w:t>(</w:t>
      </w:r>
      <w:proofErr w:type="spellStart"/>
      <w:r>
        <w:rPr>
          <w:i/>
          <w:iCs/>
          <w:lang w:val="es-BO"/>
        </w:rPr>
        <w:t>National</w:t>
      </w:r>
      <w:proofErr w:type="spellEnd"/>
      <w:r>
        <w:rPr>
          <w:i/>
          <w:iCs/>
          <w:lang w:val="es-BO"/>
        </w:rPr>
        <w:t xml:space="preserve"> </w:t>
      </w:r>
      <w:proofErr w:type="spellStart"/>
      <w:r>
        <w:rPr>
          <w:i/>
          <w:iCs/>
          <w:lang w:val="es-BO"/>
        </w:rPr>
        <w:t>Lawyers</w:t>
      </w:r>
      <w:proofErr w:type="spellEnd"/>
      <w:r>
        <w:rPr>
          <w:i/>
          <w:iCs/>
          <w:lang w:val="es-BO"/>
        </w:rPr>
        <w:t xml:space="preserve"> </w:t>
      </w:r>
      <w:proofErr w:type="spellStart"/>
      <w:r>
        <w:rPr>
          <w:i/>
          <w:iCs/>
          <w:lang w:val="es-BO"/>
        </w:rPr>
        <w:t>Guild</w:t>
      </w:r>
      <w:proofErr w:type="spellEnd"/>
      <w:r>
        <w:rPr>
          <w:i/>
          <w:iCs/>
          <w:lang w:val="es-BO"/>
        </w:rPr>
        <w:t xml:space="preserve">) </w:t>
      </w:r>
      <w:r w:rsidRPr="00CA0D2A">
        <w:rPr>
          <w:i/>
          <w:iCs/>
          <w:lang w:val="es-BO"/>
        </w:rPr>
        <w:t xml:space="preserve">de los EEUU fue establecido en 1937 como la primera organización </w:t>
      </w:r>
      <w:r>
        <w:rPr>
          <w:i/>
          <w:iCs/>
          <w:lang w:val="es-BO"/>
        </w:rPr>
        <w:t xml:space="preserve">pluricultural </w:t>
      </w:r>
      <w:r w:rsidRPr="00CA0D2A">
        <w:rPr>
          <w:i/>
          <w:iCs/>
          <w:lang w:val="es-BO"/>
        </w:rPr>
        <w:t xml:space="preserve">de abogados </w:t>
      </w:r>
      <w:r>
        <w:rPr>
          <w:i/>
          <w:iCs/>
          <w:lang w:val="es-BO"/>
        </w:rPr>
        <w:t>en los EEUU que defiende el ejercicio de derechos humanos, civiles y constitucionales.</w:t>
      </w:r>
    </w:p>
    <w:p w:rsidR="00FE3278" w:rsidRPr="003C20D6" w:rsidRDefault="00FE3278" w:rsidP="00FE3278">
      <w:pPr>
        <w:rPr>
          <w:rFonts w:asciiTheme="majorBidi" w:hAnsiTheme="majorBidi" w:cstheme="majorBidi"/>
          <w:sz w:val="24"/>
          <w:szCs w:val="24"/>
          <w:lang w:val="es-BO"/>
        </w:rPr>
      </w:pPr>
    </w:p>
    <w:p w:rsidR="00B80293" w:rsidRPr="00FE3278" w:rsidRDefault="00B80293" w:rsidP="007C0769">
      <w:pPr>
        <w:spacing w:after="0"/>
        <w:rPr>
          <w:rFonts w:asciiTheme="majorBidi" w:hAnsiTheme="majorBidi" w:cstheme="majorBidi"/>
          <w:sz w:val="24"/>
          <w:szCs w:val="24"/>
        </w:rPr>
      </w:pPr>
    </w:p>
    <w:sectPr w:rsidR="00B80293" w:rsidRPr="00FE3278" w:rsidSect="003F5C8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8D" w:rsidRDefault="00A72E8D" w:rsidP="003F5C89">
      <w:pPr>
        <w:spacing w:after="0" w:line="240" w:lineRule="auto"/>
      </w:pPr>
      <w:r>
        <w:separator/>
      </w:r>
    </w:p>
  </w:endnote>
  <w:endnote w:type="continuationSeparator" w:id="0">
    <w:p w:rsidR="00A72E8D" w:rsidRDefault="00A72E8D" w:rsidP="003F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3" w:rsidRPr="00B80293" w:rsidRDefault="00B80293" w:rsidP="00B80293">
    <w:pPr>
      <w:pStyle w:val="Footer"/>
      <w:pBdr>
        <w:bottom w:val="single" w:sz="12" w:space="1" w:color="auto"/>
      </w:pBdr>
      <w:rPr>
        <w:rFonts w:asciiTheme="minorBidi" w:hAnsiTheme="minorBidi"/>
        <w:sz w:val="20"/>
        <w:szCs w:val="20"/>
      </w:rPr>
    </w:pPr>
  </w:p>
  <w:p w:rsidR="00B80293" w:rsidRPr="00B80293" w:rsidRDefault="00B80293" w:rsidP="003C20D6">
    <w:pPr>
      <w:pStyle w:val="Footer"/>
      <w:rPr>
        <w:rFonts w:asciiTheme="minorBidi" w:hAnsiTheme="minorBidi"/>
        <w:i/>
        <w:iCs/>
        <w:sz w:val="20"/>
        <w:szCs w:val="20"/>
      </w:rPr>
    </w:pPr>
    <w:r w:rsidRPr="00B80293">
      <w:rPr>
        <w:rFonts w:asciiTheme="minorBidi" w:hAnsiTheme="minorBidi"/>
        <w:i/>
        <w:iCs/>
        <w:sz w:val="20"/>
        <w:szCs w:val="20"/>
      </w:rPr>
      <w:t>Jeanne Mirer</w:t>
    </w:r>
    <w:r w:rsidR="003C20D6">
      <w:rPr>
        <w:rFonts w:asciiTheme="minorBidi" w:hAnsiTheme="minorBidi"/>
        <w:i/>
        <w:iCs/>
        <w:sz w:val="20"/>
        <w:szCs w:val="20"/>
      </w:rPr>
      <w:t xml:space="preserve">                                </w:t>
    </w:r>
    <w:r w:rsidRPr="00B80293">
      <w:rPr>
        <w:rFonts w:asciiTheme="minorBidi" w:hAnsiTheme="minorBidi"/>
        <w:i/>
        <w:iCs/>
        <w:sz w:val="20"/>
        <w:szCs w:val="20"/>
      </w:rPr>
      <w:t xml:space="preserve">        Suzanne </w:t>
    </w:r>
    <w:proofErr w:type="spellStart"/>
    <w:r w:rsidRPr="00B80293">
      <w:rPr>
        <w:rFonts w:asciiTheme="minorBidi" w:hAnsiTheme="minorBidi"/>
        <w:i/>
        <w:iCs/>
        <w:sz w:val="20"/>
        <w:szCs w:val="20"/>
      </w:rPr>
      <w:t>Adely</w:t>
    </w:r>
    <w:proofErr w:type="spellEnd"/>
    <w:r w:rsidRPr="00B80293">
      <w:rPr>
        <w:rFonts w:asciiTheme="minorBidi" w:hAnsiTheme="minorBidi"/>
        <w:i/>
        <w:iCs/>
        <w:sz w:val="20"/>
        <w:szCs w:val="20"/>
      </w:rPr>
      <w:t xml:space="preserve">        </w:t>
    </w:r>
    <w:r w:rsidR="003C20D6">
      <w:rPr>
        <w:rFonts w:asciiTheme="minorBidi" w:hAnsiTheme="minorBidi"/>
        <w:i/>
        <w:iCs/>
        <w:sz w:val="20"/>
        <w:szCs w:val="20"/>
      </w:rPr>
      <w:tab/>
    </w:r>
    <w:r w:rsidRPr="00B80293">
      <w:rPr>
        <w:rFonts w:asciiTheme="minorBidi" w:hAnsiTheme="minorBidi"/>
        <w:i/>
        <w:iCs/>
        <w:sz w:val="20"/>
        <w:szCs w:val="20"/>
      </w:rPr>
      <w:t xml:space="preserve">          Natasha Lycia </w:t>
    </w:r>
    <w:proofErr w:type="spellStart"/>
    <w:r w:rsidRPr="00B80293">
      <w:rPr>
        <w:rFonts w:asciiTheme="minorBidi" w:hAnsiTheme="minorBidi"/>
        <w:i/>
        <w:iCs/>
        <w:sz w:val="20"/>
        <w:szCs w:val="20"/>
      </w:rPr>
      <w:t>Ora</w:t>
    </w:r>
    <w:proofErr w:type="spellEnd"/>
    <w:r w:rsidRPr="00B80293">
      <w:rPr>
        <w:rFonts w:asciiTheme="minorBidi" w:hAnsiTheme="minorBidi"/>
        <w:i/>
        <w:iCs/>
        <w:sz w:val="20"/>
        <w:szCs w:val="20"/>
      </w:rPr>
      <w:t xml:space="preserve"> </w:t>
    </w:r>
    <w:proofErr w:type="spellStart"/>
    <w:r w:rsidRPr="00B80293">
      <w:rPr>
        <w:rFonts w:asciiTheme="minorBidi" w:hAnsiTheme="minorBidi"/>
        <w:i/>
        <w:iCs/>
        <w:sz w:val="20"/>
        <w:szCs w:val="20"/>
      </w:rPr>
      <w:t>Bannan</w:t>
    </w:r>
    <w:proofErr w:type="spellEnd"/>
    <w:r w:rsidRPr="00B80293">
      <w:rPr>
        <w:rFonts w:asciiTheme="minorBidi" w:hAnsiTheme="minorBidi"/>
        <w:i/>
        <w:iCs/>
        <w:sz w:val="20"/>
        <w:szCs w:val="20"/>
      </w:rPr>
      <w:t xml:space="preserve">   </w:t>
    </w:r>
  </w:p>
  <w:p w:rsidR="00B80293" w:rsidRPr="00B80293" w:rsidRDefault="00B80293" w:rsidP="003C20D6">
    <w:pPr>
      <w:pStyle w:val="Footer"/>
      <w:rPr>
        <w:rFonts w:asciiTheme="minorBidi" w:hAnsiTheme="minorBidi"/>
        <w:i/>
        <w:iCs/>
        <w:sz w:val="20"/>
        <w:szCs w:val="20"/>
      </w:rPr>
    </w:pPr>
    <w:proofErr w:type="gramStart"/>
    <w:r w:rsidRPr="00B80293">
      <w:rPr>
        <w:rFonts w:asciiTheme="minorBidi" w:hAnsiTheme="minorBidi"/>
        <w:i/>
        <w:iCs/>
        <w:sz w:val="20"/>
        <w:szCs w:val="20"/>
      </w:rPr>
      <w:t>co-chair</w:t>
    </w:r>
    <w:proofErr w:type="gramEnd"/>
    <w:r w:rsidRPr="00B80293">
      <w:rPr>
        <w:rFonts w:asciiTheme="minorBidi" w:hAnsiTheme="minorBidi"/>
        <w:i/>
        <w:iCs/>
        <w:sz w:val="20"/>
        <w:szCs w:val="20"/>
      </w:rPr>
      <w:t xml:space="preserve">                    </w:t>
    </w:r>
    <w:r w:rsidR="003C20D6">
      <w:rPr>
        <w:rFonts w:asciiTheme="minorBidi" w:hAnsiTheme="minorBidi"/>
        <w:i/>
        <w:iCs/>
        <w:sz w:val="20"/>
        <w:szCs w:val="20"/>
      </w:rPr>
      <w:t xml:space="preserve">                       </w:t>
    </w:r>
    <w:r w:rsidRPr="00B80293">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r w:rsidR="003C20D6">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93" w:rsidRPr="00B80293" w:rsidRDefault="00B80293">
    <w:pPr>
      <w:pStyle w:val="Footer"/>
      <w:pBdr>
        <w:bottom w:val="single" w:sz="12" w:space="1" w:color="auto"/>
      </w:pBdr>
      <w:rPr>
        <w:rFonts w:asciiTheme="minorBidi" w:hAnsiTheme="minorBidi"/>
        <w:sz w:val="20"/>
        <w:szCs w:val="20"/>
      </w:rPr>
    </w:pPr>
  </w:p>
  <w:p w:rsidR="00B80293" w:rsidRPr="00B80293" w:rsidRDefault="00FE3278" w:rsidP="00FE3278">
    <w:pPr>
      <w:pStyle w:val="Footer"/>
      <w:rPr>
        <w:rFonts w:asciiTheme="minorBidi" w:hAnsiTheme="minorBidi"/>
        <w:i/>
        <w:iCs/>
        <w:sz w:val="20"/>
        <w:szCs w:val="20"/>
      </w:rPr>
    </w:pPr>
    <w:r>
      <w:rPr>
        <w:rFonts w:asciiTheme="minorBidi" w:hAnsiTheme="minorBidi"/>
        <w:i/>
        <w:iCs/>
        <w:sz w:val="20"/>
        <w:szCs w:val="20"/>
      </w:rPr>
      <w:t xml:space="preserve">Jeanne Mirer                                        </w:t>
    </w:r>
    <w:r w:rsidR="00B80293" w:rsidRPr="00B80293">
      <w:rPr>
        <w:rFonts w:asciiTheme="minorBidi" w:hAnsiTheme="minorBidi"/>
        <w:i/>
        <w:iCs/>
        <w:sz w:val="20"/>
        <w:szCs w:val="20"/>
      </w:rPr>
      <w:t xml:space="preserve">Suzanne </w:t>
    </w:r>
    <w:proofErr w:type="spellStart"/>
    <w:r w:rsidR="00B80293" w:rsidRPr="00B80293">
      <w:rPr>
        <w:rFonts w:asciiTheme="minorBidi" w:hAnsiTheme="minorBidi"/>
        <w:i/>
        <w:iCs/>
        <w:sz w:val="20"/>
        <w:szCs w:val="20"/>
      </w:rPr>
      <w:t>Adely</w:t>
    </w:r>
    <w:proofErr w:type="spellEnd"/>
    <w:r w:rsidR="00B80293" w:rsidRPr="00B80293">
      <w:rPr>
        <w:rFonts w:asciiTheme="minorBidi" w:hAnsiTheme="minorBidi"/>
        <w:i/>
        <w:iCs/>
        <w:sz w:val="20"/>
        <w:szCs w:val="20"/>
      </w:rPr>
      <w:t xml:space="preserve">              </w:t>
    </w:r>
    <w:r>
      <w:rPr>
        <w:rFonts w:asciiTheme="minorBidi" w:hAnsiTheme="minorBidi"/>
        <w:i/>
        <w:iCs/>
        <w:sz w:val="20"/>
        <w:szCs w:val="20"/>
      </w:rPr>
      <w:tab/>
    </w:r>
    <w:r w:rsidR="00B80293" w:rsidRPr="00B80293">
      <w:rPr>
        <w:rFonts w:asciiTheme="minorBidi" w:hAnsiTheme="minorBidi"/>
        <w:i/>
        <w:iCs/>
        <w:sz w:val="20"/>
        <w:szCs w:val="20"/>
      </w:rPr>
      <w:t xml:space="preserve">    Natasha Lycia </w:t>
    </w:r>
    <w:proofErr w:type="spellStart"/>
    <w:r w:rsidR="00B80293" w:rsidRPr="00B80293">
      <w:rPr>
        <w:rFonts w:asciiTheme="minorBidi" w:hAnsiTheme="minorBidi"/>
        <w:i/>
        <w:iCs/>
        <w:sz w:val="20"/>
        <w:szCs w:val="20"/>
      </w:rPr>
      <w:t>Ora</w:t>
    </w:r>
    <w:proofErr w:type="spellEnd"/>
    <w:r w:rsidR="00B80293" w:rsidRPr="00B80293">
      <w:rPr>
        <w:rFonts w:asciiTheme="minorBidi" w:hAnsiTheme="minorBidi"/>
        <w:i/>
        <w:iCs/>
        <w:sz w:val="20"/>
        <w:szCs w:val="20"/>
      </w:rPr>
      <w:t xml:space="preserve"> </w:t>
    </w:r>
    <w:proofErr w:type="spellStart"/>
    <w:r w:rsidR="00B80293" w:rsidRPr="00B80293">
      <w:rPr>
        <w:rFonts w:asciiTheme="minorBidi" w:hAnsiTheme="minorBidi"/>
        <w:i/>
        <w:iCs/>
        <w:sz w:val="20"/>
        <w:szCs w:val="20"/>
      </w:rPr>
      <w:t>Bannan</w:t>
    </w:r>
    <w:proofErr w:type="spellEnd"/>
    <w:r w:rsidR="00B80293" w:rsidRPr="00B80293">
      <w:rPr>
        <w:rFonts w:asciiTheme="minorBidi" w:hAnsiTheme="minorBidi"/>
        <w:i/>
        <w:iCs/>
        <w:sz w:val="20"/>
        <w:szCs w:val="20"/>
      </w:rPr>
      <w:t xml:space="preserve">                     </w:t>
    </w:r>
  </w:p>
  <w:p w:rsidR="00B80293" w:rsidRPr="00B80293" w:rsidRDefault="00B80293" w:rsidP="00FE3278">
    <w:pPr>
      <w:pStyle w:val="Footer"/>
      <w:rPr>
        <w:rFonts w:asciiTheme="minorBidi" w:hAnsiTheme="minorBidi"/>
        <w:i/>
        <w:iCs/>
        <w:sz w:val="20"/>
        <w:szCs w:val="20"/>
      </w:rPr>
    </w:pPr>
    <w:proofErr w:type="gramStart"/>
    <w:r w:rsidRPr="00B80293">
      <w:rPr>
        <w:rFonts w:asciiTheme="minorBidi" w:hAnsiTheme="minorBidi"/>
        <w:i/>
        <w:iCs/>
        <w:sz w:val="20"/>
        <w:szCs w:val="20"/>
      </w:rPr>
      <w:t>co-chair</w:t>
    </w:r>
    <w:proofErr w:type="gramEnd"/>
    <w:r w:rsidRPr="00B80293">
      <w:rPr>
        <w:rFonts w:asciiTheme="minorBidi" w:hAnsiTheme="minorBidi"/>
        <w:i/>
        <w:iCs/>
        <w:sz w:val="20"/>
        <w:szCs w:val="20"/>
      </w:rPr>
      <w:t xml:space="preserve">                 </w:t>
    </w:r>
    <w:r w:rsidR="00FE3278">
      <w:rPr>
        <w:rFonts w:asciiTheme="minorBidi" w:hAnsiTheme="minorBidi"/>
        <w:i/>
        <w:iCs/>
        <w:sz w:val="20"/>
        <w:szCs w:val="20"/>
      </w:rPr>
      <w:t xml:space="preserve">                            </w:t>
    </w:r>
    <w:r w:rsidRPr="00B80293">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r w:rsidR="00FE3278">
      <w:rPr>
        <w:rFonts w:asciiTheme="minorBidi" w:hAnsiTheme="minorBidi"/>
        <w:i/>
        <w:iCs/>
        <w:sz w:val="20"/>
        <w:szCs w:val="20"/>
      </w:rPr>
      <w:t xml:space="preserve">                                </w:t>
    </w:r>
    <w:proofErr w:type="spellStart"/>
    <w:r w:rsidRPr="00B80293">
      <w:rPr>
        <w:rFonts w:asciiTheme="minorBidi" w:hAnsiTheme="minorBidi"/>
        <w:i/>
        <w:iCs/>
        <w:sz w:val="20"/>
        <w:szCs w:val="20"/>
      </w:rPr>
      <w:t>co-chair</w:t>
    </w:r>
    <w:proofErr w:type="spellEnd"/>
    <w:r w:rsidRPr="00B80293">
      <w:rPr>
        <w:rFonts w:asciiTheme="minorBidi" w:hAnsiTheme="minorBidi"/>
        <w:i/>
        <w:i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8D" w:rsidRDefault="00A72E8D" w:rsidP="003F5C89">
      <w:pPr>
        <w:spacing w:after="0" w:line="240" w:lineRule="auto"/>
      </w:pPr>
      <w:r>
        <w:separator/>
      </w:r>
    </w:p>
  </w:footnote>
  <w:footnote w:type="continuationSeparator" w:id="0">
    <w:p w:rsidR="00A72E8D" w:rsidRDefault="00A72E8D" w:rsidP="003F5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65322"/>
      <w:docPartObj>
        <w:docPartGallery w:val="Page Numbers (Top of Page)"/>
        <w:docPartUnique/>
      </w:docPartObj>
    </w:sdtPr>
    <w:sdtEndPr>
      <w:rPr>
        <w:rFonts w:asciiTheme="majorBidi" w:hAnsiTheme="majorBidi" w:cstheme="majorBidi"/>
        <w:noProof/>
      </w:rPr>
    </w:sdtEndPr>
    <w:sdtContent>
      <w:p w:rsidR="003F5C89" w:rsidRPr="003F5C89" w:rsidRDefault="003F5C89">
        <w:pPr>
          <w:pStyle w:val="Header"/>
          <w:jc w:val="center"/>
          <w:rPr>
            <w:rFonts w:asciiTheme="majorBidi" w:hAnsiTheme="majorBidi" w:cstheme="majorBidi"/>
          </w:rPr>
        </w:pPr>
        <w:r w:rsidRPr="003F5C89">
          <w:rPr>
            <w:rFonts w:asciiTheme="majorBidi" w:hAnsiTheme="majorBidi" w:cstheme="majorBidi"/>
          </w:rPr>
          <w:fldChar w:fldCharType="begin"/>
        </w:r>
        <w:r w:rsidRPr="003F5C89">
          <w:rPr>
            <w:rFonts w:asciiTheme="majorBidi" w:hAnsiTheme="majorBidi" w:cstheme="majorBidi"/>
          </w:rPr>
          <w:instrText xml:space="preserve"> PAGE   \* MERGEFORMAT </w:instrText>
        </w:r>
        <w:r w:rsidRPr="003F5C89">
          <w:rPr>
            <w:rFonts w:asciiTheme="majorBidi" w:hAnsiTheme="majorBidi" w:cstheme="majorBidi"/>
          </w:rPr>
          <w:fldChar w:fldCharType="separate"/>
        </w:r>
        <w:r w:rsidR="003C20D6">
          <w:rPr>
            <w:rFonts w:asciiTheme="majorBidi" w:hAnsiTheme="majorBidi" w:cstheme="majorBidi"/>
            <w:noProof/>
          </w:rPr>
          <w:t>2</w:t>
        </w:r>
        <w:r w:rsidRPr="003F5C89">
          <w:rPr>
            <w:rFonts w:asciiTheme="majorBidi" w:hAnsiTheme="majorBidi" w:cstheme="majorBidi"/>
            <w:noProof/>
          </w:rPr>
          <w:fldChar w:fldCharType="end"/>
        </w:r>
      </w:p>
    </w:sdtContent>
  </w:sdt>
  <w:p w:rsidR="003F5C89" w:rsidRPr="003F5C89" w:rsidRDefault="003F5C89" w:rsidP="003F5C89">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89" w:rsidRPr="00017267" w:rsidRDefault="003F5C89" w:rsidP="003F5C89">
    <w:pPr>
      <w:pStyle w:val="Header"/>
      <w:jc w:val="center"/>
      <w:rPr>
        <w:b/>
        <w:bCs/>
        <w:i/>
        <w:iCs/>
        <w:sz w:val="20"/>
        <w:szCs w:val="20"/>
      </w:rPr>
    </w:pPr>
    <w:r w:rsidRPr="00017267">
      <w:rPr>
        <w:b/>
        <w:bCs/>
        <w:i/>
        <w:iCs/>
        <w:noProof/>
        <w:sz w:val="20"/>
        <w:szCs w:val="20"/>
      </w:rPr>
      <w:drawing>
        <wp:inline distT="0" distB="0" distL="0" distR="0" wp14:anchorId="1C588220" wp14:editId="0A84D61A">
          <wp:extent cx="5920740" cy="946604"/>
          <wp:effectExtent l="0" t="0" r="3810" b="6350"/>
          <wp:docPr id="3" name="Picture 3" descr="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nn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740" cy="946604"/>
                  </a:xfrm>
                  <a:prstGeom prst="rect">
                    <a:avLst/>
                  </a:prstGeom>
                  <a:noFill/>
                  <a:ln>
                    <a:noFill/>
                  </a:ln>
                </pic:spPr>
              </pic:pic>
            </a:graphicData>
          </a:graphic>
        </wp:inline>
      </w:drawing>
    </w:r>
    <w:r w:rsidRPr="00017267">
      <w:rPr>
        <w:rFonts w:ascii="Arial" w:hAnsi="Arial" w:cs="Arial"/>
        <w:b/>
        <w:bCs/>
        <w:i/>
        <w:iCs/>
        <w:color w:val="545454"/>
        <w:sz w:val="20"/>
        <w:szCs w:val="20"/>
        <w:shd w:val="clear" w:color="auto" w:fill="FFFFFF"/>
      </w:rPr>
      <w:t>32 Nassau Street, Rm. 922</w:t>
    </w:r>
    <w:r w:rsidRPr="00017267">
      <w:rPr>
        <w:rStyle w:val="apple-converted-space"/>
        <w:rFonts w:ascii="Arial" w:hAnsi="Arial" w:cs="Arial"/>
        <w:b/>
        <w:bCs/>
        <w:i/>
        <w:iCs/>
        <w:color w:val="545454"/>
        <w:sz w:val="20"/>
        <w:szCs w:val="20"/>
        <w:shd w:val="clear" w:color="auto" w:fill="FFFFFF"/>
      </w:rPr>
      <w:t> </w:t>
    </w:r>
    <w:r w:rsidRPr="00017267">
      <w:rPr>
        <w:rStyle w:val="Emphasis"/>
        <w:rFonts w:ascii="Arial" w:hAnsi="Arial" w:cs="Arial"/>
        <w:b/>
        <w:bCs/>
        <w:color w:val="545454"/>
        <w:sz w:val="20"/>
        <w:szCs w:val="20"/>
        <w:shd w:val="clear" w:color="auto" w:fill="FFFFFF"/>
      </w:rPr>
      <w:t>New York</w:t>
    </w:r>
    <w:r w:rsidRPr="00017267">
      <w:rPr>
        <w:rFonts w:ascii="Arial" w:hAnsi="Arial" w:cs="Arial"/>
        <w:b/>
        <w:bCs/>
        <w:color w:val="545454"/>
        <w:sz w:val="20"/>
        <w:szCs w:val="20"/>
        <w:shd w:val="clear" w:color="auto" w:fill="FFFFFF"/>
      </w:rPr>
      <w:t>,</w:t>
    </w:r>
    <w:r w:rsidRPr="00017267">
      <w:rPr>
        <w:rStyle w:val="apple-converted-space"/>
        <w:rFonts w:ascii="Arial" w:hAnsi="Arial" w:cs="Arial"/>
        <w:b/>
        <w:bCs/>
        <w:color w:val="545454"/>
        <w:sz w:val="20"/>
        <w:szCs w:val="20"/>
        <w:shd w:val="clear" w:color="auto" w:fill="FFFFFF"/>
      </w:rPr>
      <w:t> </w:t>
    </w:r>
    <w:r w:rsidRPr="00017267">
      <w:rPr>
        <w:rStyle w:val="Emphasis"/>
        <w:rFonts w:ascii="Arial" w:hAnsi="Arial" w:cs="Arial"/>
        <w:b/>
        <w:bCs/>
        <w:color w:val="545454"/>
        <w:sz w:val="20"/>
        <w:szCs w:val="20"/>
        <w:shd w:val="clear" w:color="auto" w:fill="FFFFFF"/>
      </w:rPr>
      <w:t>NY</w:t>
    </w:r>
    <w:r w:rsidRPr="00017267">
      <w:rPr>
        <w:rStyle w:val="apple-converted-space"/>
        <w:rFonts w:ascii="Arial" w:hAnsi="Arial" w:cs="Arial"/>
        <w:b/>
        <w:bCs/>
        <w:i/>
        <w:iCs/>
        <w:color w:val="545454"/>
        <w:sz w:val="20"/>
        <w:szCs w:val="20"/>
        <w:shd w:val="clear" w:color="auto" w:fill="FFFFFF"/>
      </w:rPr>
      <w:t> </w:t>
    </w:r>
    <w:r w:rsidRPr="00017267">
      <w:rPr>
        <w:rFonts w:ascii="Arial" w:hAnsi="Arial" w:cs="Arial"/>
        <w:b/>
        <w:bCs/>
        <w:i/>
        <w:iCs/>
        <w:color w:val="545454"/>
        <w:sz w:val="20"/>
        <w:szCs w:val="20"/>
        <w:shd w:val="clear" w:color="auto" w:fill="FFFFFF"/>
      </w:rPr>
      <w:t>10038 + nlginternational.org + international@nlg.org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48FD"/>
    <w:multiLevelType w:val="hybridMultilevel"/>
    <w:tmpl w:val="4B6A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7B0D8C"/>
    <w:multiLevelType w:val="hybridMultilevel"/>
    <w:tmpl w:val="EA462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9"/>
    <w:rsid w:val="00017267"/>
    <w:rsid w:val="002C0B6B"/>
    <w:rsid w:val="003C20D6"/>
    <w:rsid w:val="003F5C89"/>
    <w:rsid w:val="005B7E51"/>
    <w:rsid w:val="00766E6F"/>
    <w:rsid w:val="00770F3E"/>
    <w:rsid w:val="007C0769"/>
    <w:rsid w:val="00A72E8D"/>
    <w:rsid w:val="00A840F2"/>
    <w:rsid w:val="00B80293"/>
    <w:rsid w:val="00C235E0"/>
    <w:rsid w:val="00DB5913"/>
    <w:rsid w:val="00EE6FF3"/>
    <w:rsid w:val="00FE3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89"/>
  </w:style>
  <w:style w:type="paragraph" w:styleId="Footer">
    <w:name w:val="footer"/>
    <w:basedOn w:val="Normal"/>
    <w:link w:val="FooterChar"/>
    <w:uiPriority w:val="99"/>
    <w:unhideWhenUsed/>
    <w:rsid w:val="003F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89"/>
  </w:style>
  <w:style w:type="character" w:customStyle="1" w:styleId="apple-converted-space">
    <w:name w:val="apple-converted-space"/>
    <w:basedOn w:val="DefaultParagraphFont"/>
    <w:rsid w:val="003F5C89"/>
  </w:style>
  <w:style w:type="character" w:styleId="Emphasis">
    <w:name w:val="Emphasis"/>
    <w:basedOn w:val="DefaultParagraphFont"/>
    <w:uiPriority w:val="20"/>
    <w:qFormat/>
    <w:rsid w:val="003F5C89"/>
    <w:rPr>
      <w:i/>
      <w:iCs/>
    </w:rPr>
  </w:style>
  <w:style w:type="paragraph" w:styleId="BalloonText">
    <w:name w:val="Balloon Text"/>
    <w:basedOn w:val="Normal"/>
    <w:link w:val="BalloonTextChar"/>
    <w:uiPriority w:val="99"/>
    <w:semiHidden/>
    <w:unhideWhenUsed/>
    <w:rsid w:val="003F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89"/>
    <w:rPr>
      <w:rFonts w:ascii="Tahoma" w:hAnsi="Tahoma" w:cs="Tahoma"/>
      <w:sz w:val="16"/>
      <w:szCs w:val="16"/>
    </w:rPr>
  </w:style>
  <w:style w:type="character" w:styleId="Hyperlink">
    <w:name w:val="Hyperlink"/>
    <w:basedOn w:val="DefaultParagraphFont"/>
    <w:uiPriority w:val="99"/>
    <w:unhideWhenUsed/>
    <w:rsid w:val="00B80293"/>
    <w:rPr>
      <w:color w:val="0000FF" w:themeColor="hyperlink"/>
      <w:u w:val="single"/>
    </w:rPr>
  </w:style>
  <w:style w:type="paragraph" w:styleId="ListParagraph">
    <w:name w:val="List Paragraph"/>
    <w:basedOn w:val="Normal"/>
    <w:uiPriority w:val="34"/>
    <w:qFormat/>
    <w:rsid w:val="00017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89"/>
  </w:style>
  <w:style w:type="paragraph" w:styleId="Footer">
    <w:name w:val="footer"/>
    <w:basedOn w:val="Normal"/>
    <w:link w:val="FooterChar"/>
    <w:uiPriority w:val="99"/>
    <w:unhideWhenUsed/>
    <w:rsid w:val="003F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89"/>
  </w:style>
  <w:style w:type="character" w:customStyle="1" w:styleId="apple-converted-space">
    <w:name w:val="apple-converted-space"/>
    <w:basedOn w:val="DefaultParagraphFont"/>
    <w:rsid w:val="003F5C89"/>
  </w:style>
  <w:style w:type="character" w:styleId="Emphasis">
    <w:name w:val="Emphasis"/>
    <w:basedOn w:val="DefaultParagraphFont"/>
    <w:uiPriority w:val="20"/>
    <w:qFormat/>
    <w:rsid w:val="003F5C89"/>
    <w:rPr>
      <w:i/>
      <w:iCs/>
    </w:rPr>
  </w:style>
  <w:style w:type="paragraph" w:styleId="BalloonText">
    <w:name w:val="Balloon Text"/>
    <w:basedOn w:val="Normal"/>
    <w:link w:val="BalloonTextChar"/>
    <w:uiPriority w:val="99"/>
    <w:semiHidden/>
    <w:unhideWhenUsed/>
    <w:rsid w:val="003F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C89"/>
    <w:rPr>
      <w:rFonts w:ascii="Tahoma" w:hAnsi="Tahoma" w:cs="Tahoma"/>
      <w:sz w:val="16"/>
      <w:szCs w:val="16"/>
    </w:rPr>
  </w:style>
  <w:style w:type="character" w:styleId="Hyperlink">
    <w:name w:val="Hyperlink"/>
    <w:basedOn w:val="DefaultParagraphFont"/>
    <w:uiPriority w:val="99"/>
    <w:unhideWhenUsed/>
    <w:rsid w:val="00B80293"/>
    <w:rPr>
      <w:color w:val="0000FF" w:themeColor="hyperlink"/>
      <w:u w:val="single"/>
    </w:rPr>
  </w:style>
  <w:style w:type="paragraph" w:styleId="ListParagraph">
    <w:name w:val="List Paragraph"/>
    <w:basedOn w:val="Normal"/>
    <w:uiPriority w:val="34"/>
    <w:qFormat/>
    <w:rsid w:val="0001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_somberg@ig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Kates</dc:creator>
  <cp:lastModifiedBy>Charlotte Kates</cp:lastModifiedBy>
  <cp:revision>2</cp:revision>
  <dcterms:created xsi:type="dcterms:W3CDTF">2014-10-14T12:34:00Z</dcterms:created>
  <dcterms:modified xsi:type="dcterms:W3CDTF">2014-10-14T12:34:00Z</dcterms:modified>
</cp:coreProperties>
</file>